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60" w:rsidRDefault="00851D01" w:rsidP="00851D01">
      <w:pPr>
        <w:pStyle w:val="a3"/>
        <w:rPr>
          <w:rFonts w:hint="eastAsia"/>
        </w:rPr>
      </w:pPr>
      <w:r>
        <w:rPr>
          <w:rFonts w:hint="eastAsia"/>
        </w:rPr>
        <w:t>追加レジュメ</w:t>
      </w:r>
    </w:p>
    <w:p w:rsidR="00851D01" w:rsidRDefault="00851D01" w:rsidP="00851D01">
      <w:pPr>
        <w:pStyle w:val="1"/>
        <w:rPr>
          <w:rFonts w:hint="eastAsia"/>
        </w:rPr>
      </w:pPr>
      <w:r>
        <w:rPr>
          <w:rFonts w:hint="eastAsia"/>
        </w:rPr>
        <w:t xml:space="preserve">　衆議院判例の追加</w:t>
      </w:r>
    </w:p>
    <w:p w:rsidR="00851D01" w:rsidRDefault="00851D01" w:rsidP="00851D01">
      <w:pPr>
        <w:rPr>
          <w:rFonts w:hint="eastAsia"/>
        </w:rPr>
      </w:pPr>
      <w:r>
        <w:rPr>
          <w:rFonts w:hint="eastAsia"/>
        </w:rPr>
        <w:t xml:space="preserve">　衆議院議員の選挙における投票価値の較差の問題について，当裁判所大法廷は，これまで，〔１〕定数配分又は選挙区割りが前記のような諸事情を総合的に考慮した上で投票価値の較差において憲法の投票価値の平等の要求に反する状態に至っているか否か，〔２〕上記の状態に至っている場合に，憲法上要求される合理的期間内における是正がされなかったとして定数配分規定又は区割規定が憲法の規定に違反するに至っているか否か，〔３〕当該規定が憲法の規定に違反するに至っている場合に，選挙を無効とすることなく選挙の違法を宣言するにとどめるか否かといった判断の枠組みに従って審査を行ってきた。こうした段階を経て判断を行う方法が採られてきたのは，単に事柄の重要性に鑑み慎重な手順を踏むというよりは，憲法の予定している司法権と立法権との関係に由来するものと考えられる。すなわち，裁判所において選挙制度について投票価値の平等の観点から憲法上問題があると判断したとしても，自らこれに代わる具体的な制度を定め得るものではなく，その是正は国会の立法によって行われることになるものであり，是正の方法についても国会は幅広い裁量権を有しており，上記の判断枠組みのいずれの段階においても，国会において自ら制度の見直しを行うことが想定されているものと解される。換言すれば，裁判所が選挙制度の憲法適合性について上記の判断枠組みの各段階において一定の判断を示すことにより，国会がこれを踏まえて所要の適切な是正の措置を講ずることが，憲法の趣旨に沿うものというべきである。このような憲法秩序の下における司法権と立法権との関係に照らすと，上記〔１〕の段階において憲法の投票価値の平等の要求に反する状態に至っている旨の司法の判断がされれば国会はこれを受けて是正を行う責務を負うものであるところ，上記〔２〕の段階において憲法上要求される合理的期間内における是正がされなかったといえるか否かを判断するに当たっては，</w:t>
      </w:r>
      <w:r w:rsidRPr="00851D01">
        <w:rPr>
          <w:rFonts w:hint="eastAsia"/>
          <w:u w:val="single"/>
        </w:rPr>
        <w:t>単に期間の長短のみならず，是正のために採るべき措置の内容，そのために検討を要する事項，実際に必要となる手続や作業等の諸般の事情を総合考慮して，国会における是正の実現に向けた取組が司法の判断の趣旨を踏まえた立法裁量権の行使として相当なものであったといえるか否かという観点から評価すべきもの</w:t>
      </w:r>
      <w:r>
        <w:rPr>
          <w:rFonts w:hint="eastAsia"/>
        </w:rPr>
        <w:t>と解される。</w:t>
      </w:r>
    </w:p>
    <w:p w:rsidR="00851D01" w:rsidRDefault="00851D01" w:rsidP="00851D01">
      <w:pPr>
        <w:rPr>
          <w:rFonts w:hint="eastAsia"/>
        </w:rPr>
      </w:pPr>
      <w:r>
        <w:rPr>
          <w:rFonts w:hint="eastAsia"/>
        </w:rPr>
        <w:t>イ　そこで，本件において，憲法上要求される合理的期間内における是正がされなかったといえるか否かについて検討する。</w:t>
      </w:r>
    </w:p>
    <w:p w:rsidR="00851D01" w:rsidRDefault="00851D01" w:rsidP="00851D01">
      <w:pPr>
        <w:rPr>
          <w:rFonts w:hint="eastAsia"/>
        </w:rPr>
      </w:pPr>
      <w:r>
        <w:rPr>
          <w:rFonts w:hint="eastAsia"/>
        </w:rPr>
        <w:t xml:space="preserve">　本件旧区割基準中の１人別枠方式に係る部分及び同方式を含む同区割基準に基づいて定められた選挙区割りについては，前掲最高裁平成１９年６月１３日大法廷判決までは憲法の投票価値の平等の要求に反する状態に至っていないとする当審の判断が続けられており，これらが憲法の投票価値の平等の要求に反する状態に至っているとする当裁判所大法廷の判断が示されたのは，平成２３年３月２３日であり，</w:t>
      </w:r>
      <w:r w:rsidRPr="00851D01">
        <w:rPr>
          <w:rFonts w:hint="eastAsia"/>
        </w:rPr>
        <w:t>国会においてこれらが</w:t>
      </w:r>
      <w:r w:rsidRPr="007B51C1">
        <w:rPr>
          <w:rFonts w:hint="eastAsia"/>
          <w:u w:val="single"/>
        </w:rPr>
        <w:t>上記の状態にあると認識し得たのはこの時点からであった</w:t>
      </w:r>
      <w:r>
        <w:rPr>
          <w:rFonts w:hint="eastAsia"/>
        </w:rPr>
        <w:t>というべきである。</w:t>
      </w:r>
    </w:p>
    <w:p w:rsidR="00851D01" w:rsidRDefault="00851D01" w:rsidP="00851D01">
      <w:pPr>
        <w:rPr>
          <w:rFonts w:hint="eastAsia"/>
        </w:rPr>
      </w:pPr>
      <w:r>
        <w:rPr>
          <w:rFonts w:hint="eastAsia"/>
        </w:rPr>
        <w:lastRenderedPageBreak/>
        <w:t xml:space="preserve">　これらの憲法の投票価値の平等の要求に反する状態を解消するためには，旧区画審設置法３条２項の定める１人別枠方式を廃止し，同条１項の趣旨に沿って平成２２年国勢調査の結果を基に各都道府県への選挙区の数すなわち議員の定数の配分を見直し，それを前提として多数の選挙区の区割りを改定することが求められていたところである。その一連の過程を実現していくことは，多くの議員の身分にも直接関わる事柄であり，平成６年の公職選挙法の改正の際に人口の少ない県における定数の急激かつ大幅な減少への配慮等の視点から設けられた１人別枠方式によりそれらの県に割り当てられた定数を削減した上でその再配分を行うもので，制度の仕組みの見直しに準ずる作業を要するものということができ，立法の経緯等にも鑑み，国会における合意の形成が容易な事柄ではないといわざるを得ない。また，このような定数配分の見直しの際に，議員の定数の削減や選挙制度の抜本的改革といった基本的な政策課題が併せて議論の対象とされたことも，この問題の解決に向けての議論を収れんさせることを困難にする要因となったことも否定し難い。そうした中で，平成２２年国勢調査の結果に基づく区画審による選挙区割りの改定案の勧告の期限を経過した後，まず憲法の投票価値の平等の要求に反する状態の是正が最も優先されるべき課題であるとの認識の下に法改正の作業が進められ，１人別枠方式を定めた旧区画審設置法３条２項の規定の削除と選挙区間の人口較差を２倍未満に抑えるための前記０増５減による定数配分の見直しが行われたものといえる。</w:t>
      </w:r>
    </w:p>
    <w:p w:rsidR="00851D01" w:rsidRDefault="00851D01" w:rsidP="00851D01">
      <w:pPr>
        <w:rPr>
          <w:rFonts w:hint="eastAsia"/>
        </w:rPr>
      </w:pPr>
      <w:r>
        <w:rPr>
          <w:rFonts w:hint="eastAsia"/>
        </w:rPr>
        <w:t xml:space="preserve">　このような上記０増５減による定数配分の見直しの内容を現に実施し得るものとするためには，１人別枠方式の廃止及び定数配分と区割り改定の枠組みを定める法改正の後，新たな区割基準に従い区画審が選挙区割りの改定案の勧告を行い，これに基づいて新たな選挙区割りを定める法改正を行うという二段階の法改正を含む作業を経る必要があったところ，前者の改正を内容とする平成２４年改正法が成立した時点で衆議院が解散されたため，平成２３年大法廷判決の言渡しから約１年９か月後に施行された本件選挙は従前の定数と選挙区割りの下において施行せざるを得なかったことは前記のとおりであるが，本件選挙前に成立した平成２４年改正法の定めた枠組みに基づき，本来の任期満了時までに，区画審の改定案の勧告を経て平成２５年改正法が成立し，定数配分の上記０増５減の措置が行われ，平成２２年国勢調査の結果に基づく選挙区間の人口較差を２倍未満に抑える選挙区割りの改定が実現されたところである。このように，</w:t>
      </w:r>
      <w:r w:rsidRPr="007B51C1">
        <w:rPr>
          <w:rFonts w:hint="eastAsia"/>
          <w:u w:val="single"/>
        </w:rPr>
        <w:t>平成２１年選挙に関する平成２３年大法廷判決を受けて，立法府における是正のための取組が行われ，本件選挙前の時点において是正の実現に向けた一定の前進と評価し得る法改正が成立に至っていたものということができる</w:t>
      </w:r>
      <w:r>
        <w:rPr>
          <w:rFonts w:hint="eastAsia"/>
        </w:rPr>
        <w:t>。</w:t>
      </w:r>
    </w:p>
    <w:p w:rsidR="00851D01" w:rsidRDefault="00851D01" w:rsidP="00851D01">
      <w:pPr>
        <w:rPr>
          <w:rFonts w:hint="eastAsia"/>
        </w:rPr>
      </w:pPr>
      <w:r>
        <w:rPr>
          <w:rFonts w:hint="eastAsia"/>
        </w:rPr>
        <w:t xml:space="preserve">　もとより，上記０増５減の措置における定数削減の対象とされた県以外の都道府県については，本件旧区割基準に基づいて配分された定数がそのまま維持されており，平成２２年国勢調査の結果を基に１人別枠方式の廃止後の本件新区割基準に基づく定数の再配分が行われているわけではなく，全体として新区画審設置法３条の趣旨に沿った選挙制度の整備が十分に実現されているとはいえず，そのため，今後の人口変動により再び較差が２倍以上の選挙区が出現し増加する蓋然性が高いと想定されるなど，</w:t>
      </w:r>
      <w:r w:rsidRPr="007B51C1">
        <w:rPr>
          <w:rFonts w:hint="eastAsia"/>
          <w:u w:val="single"/>
        </w:rPr>
        <w:t>１人別枠方式の構造的な問題が最終</w:t>
      </w:r>
      <w:r w:rsidRPr="007B51C1">
        <w:rPr>
          <w:rFonts w:hint="eastAsia"/>
          <w:u w:val="single"/>
        </w:rPr>
        <w:lastRenderedPageBreak/>
        <w:t>的に解決されているとはいえない</w:t>
      </w:r>
      <w:r>
        <w:rPr>
          <w:rFonts w:hint="eastAsia"/>
        </w:rPr>
        <w:t>。しかしながら，この問題への対応や合意の形成に前述の様々な困難が伴うことを踏まえ，新区画審設置法３条の趣旨に沿った選挙制度の整備については，今回のような</w:t>
      </w:r>
      <w:r w:rsidRPr="007B51C1">
        <w:rPr>
          <w:rFonts w:hint="eastAsia"/>
          <w:u w:val="single"/>
        </w:rPr>
        <w:t>漸次的な見直しを重ねることによってこれを実現していくことも，国会の裁量に係る現実的な選択として許容されている</w:t>
      </w:r>
      <w:r>
        <w:rPr>
          <w:rFonts w:hint="eastAsia"/>
        </w:rPr>
        <w:t>ところと解される。また，</w:t>
      </w:r>
      <w:r w:rsidRPr="007B51C1">
        <w:rPr>
          <w:rFonts w:hint="eastAsia"/>
          <w:u w:val="single"/>
        </w:rPr>
        <w:t>今後の国勢調査の結果に従って同条に基づく各都道府県への定数の再配分とこれを踏まえた選挙区割りの改定を行うべき時期が到来することも避けられない</w:t>
      </w:r>
      <w:r>
        <w:rPr>
          <w:rFonts w:hint="eastAsia"/>
        </w:rPr>
        <w:t>ところである。</w:t>
      </w:r>
    </w:p>
    <w:p w:rsidR="00851D01" w:rsidRDefault="00851D01" w:rsidP="00851D01">
      <w:pPr>
        <w:rPr>
          <w:rFonts w:hint="eastAsia"/>
          <w:u w:val="single"/>
        </w:rPr>
      </w:pPr>
      <w:r>
        <w:rPr>
          <w:rFonts w:hint="eastAsia"/>
        </w:rPr>
        <w:t xml:space="preserve">　以上に鑑みると，本件選挙自体は，衆議院解散に伴い前回の平成２１年選挙と同様の選挙区割りの下で行われ，平成２１年選挙より最大較差も拡大していたところではあるが，本件選挙までに，１人別枠方式を定めた旧区画審設置法３条２項の規定が削除され，かつ，全国の選挙区間の人口較差を２倍未満に収めることを可能とする定数配分と区割り改定の枠組みが定められており，前記アにおいて述べた司法権と立法権との関係を踏まえ，前記のような考慮すべき諸事情に照らすと，</w:t>
      </w:r>
      <w:r w:rsidRPr="00851D01">
        <w:rPr>
          <w:rFonts w:hint="eastAsia"/>
          <w:u w:val="single"/>
        </w:rPr>
        <w:t>国会における是正の実現に向けた取組が平成２３年大法廷判決の趣旨を踏まえた立法裁量権の行使として相当なも</w:t>
      </w:r>
      <w:bookmarkStart w:id="0" w:name="_GoBack"/>
      <w:bookmarkEnd w:id="0"/>
      <w:r w:rsidRPr="00851D01">
        <w:rPr>
          <w:rFonts w:hint="eastAsia"/>
          <w:u w:val="single"/>
        </w:rPr>
        <w:t>のでなかったということはできず，本件において憲法上要求される合理的期間を徒過したものと断ずることはできない。</w:t>
      </w:r>
    </w:p>
    <w:p w:rsidR="00924EBB" w:rsidRDefault="00924EBB" w:rsidP="00851D01">
      <w:pPr>
        <w:rPr>
          <w:rFonts w:hint="eastAsia"/>
          <w:u w:val="single"/>
        </w:rPr>
      </w:pPr>
    </w:p>
    <w:p w:rsidR="00924EBB" w:rsidRPr="00924EBB" w:rsidRDefault="00924EBB" w:rsidP="00924EBB">
      <w:pPr>
        <w:jc w:val="right"/>
      </w:pPr>
      <w:r w:rsidRPr="00924EBB">
        <w:rPr>
          <w:rFonts w:hint="eastAsia"/>
        </w:rPr>
        <w:t>以上</w:t>
      </w:r>
    </w:p>
    <w:sectPr w:rsidR="00924EBB" w:rsidRPr="00924EBB" w:rsidSect="00E95D98">
      <w:pgSz w:w="11907" w:h="16839" w:code="9"/>
      <w:pgMar w:top="1985" w:right="1701" w:bottom="1701" w:left="1701"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01"/>
    <w:rsid w:val="00363460"/>
    <w:rsid w:val="007B51C1"/>
    <w:rsid w:val="007E2294"/>
    <w:rsid w:val="00851D01"/>
    <w:rsid w:val="00924EBB"/>
    <w:rsid w:val="00E95D98"/>
    <w:rsid w:val="00F758B4"/>
    <w:rsid w:val="00F9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51D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1D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51D01"/>
    <w:rPr>
      <w:rFonts w:asciiTheme="majorHAnsi" w:eastAsiaTheme="majorEastAsia" w:hAnsiTheme="majorHAnsi" w:cstheme="majorBidi"/>
    </w:rPr>
  </w:style>
  <w:style w:type="paragraph" w:styleId="a3">
    <w:name w:val="Title"/>
    <w:basedOn w:val="a"/>
    <w:next w:val="a"/>
    <w:link w:val="a4"/>
    <w:uiPriority w:val="10"/>
    <w:qFormat/>
    <w:rsid w:val="00851D0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51D01"/>
    <w:rPr>
      <w:rFonts w:asciiTheme="majorHAnsi" w:eastAsia="ＭＳ ゴシック" w:hAnsiTheme="majorHAnsi" w:cstheme="majorBidi"/>
      <w:sz w:val="32"/>
      <w:szCs w:val="32"/>
    </w:rPr>
  </w:style>
  <w:style w:type="character" w:customStyle="1" w:styleId="10">
    <w:name w:val="見出し 1 (文字)"/>
    <w:basedOn w:val="a0"/>
    <w:link w:val="1"/>
    <w:uiPriority w:val="9"/>
    <w:rsid w:val="00851D0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51D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1D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51D01"/>
    <w:rPr>
      <w:rFonts w:asciiTheme="majorHAnsi" w:eastAsiaTheme="majorEastAsia" w:hAnsiTheme="majorHAnsi" w:cstheme="majorBidi"/>
    </w:rPr>
  </w:style>
  <w:style w:type="paragraph" w:styleId="a3">
    <w:name w:val="Title"/>
    <w:basedOn w:val="a"/>
    <w:next w:val="a"/>
    <w:link w:val="a4"/>
    <w:uiPriority w:val="10"/>
    <w:qFormat/>
    <w:rsid w:val="00851D0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851D01"/>
    <w:rPr>
      <w:rFonts w:asciiTheme="majorHAnsi" w:eastAsia="ＭＳ ゴシック" w:hAnsiTheme="majorHAnsi" w:cstheme="majorBidi"/>
      <w:sz w:val="32"/>
      <w:szCs w:val="32"/>
    </w:rPr>
  </w:style>
  <w:style w:type="character" w:customStyle="1" w:styleId="10">
    <w:name w:val="見出し 1 (文字)"/>
    <w:basedOn w:val="a0"/>
    <w:link w:val="1"/>
    <w:uiPriority w:val="9"/>
    <w:rsid w:val="00851D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2014-11-01T23:33:00Z</dcterms:created>
  <dcterms:modified xsi:type="dcterms:W3CDTF">2014-11-01T23:46:00Z</dcterms:modified>
</cp:coreProperties>
</file>