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26" w:rsidRPr="000461D5" w:rsidRDefault="00480126" w:rsidP="00480126">
      <w:pPr>
        <w:jc w:val="center"/>
        <w:rPr>
          <w:b/>
          <w:sz w:val="40"/>
          <w:szCs w:val="40"/>
        </w:rPr>
      </w:pPr>
      <w:r w:rsidRPr="000461D5">
        <w:rPr>
          <w:rFonts w:hint="eastAsia"/>
          <w:b/>
          <w:sz w:val="40"/>
          <w:szCs w:val="40"/>
        </w:rPr>
        <w:t>信教の自由</w:t>
      </w:r>
      <w:r w:rsidRPr="000461D5">
        <w:rPr>
          <w:rFonts w:hint="eastAsia"/>
          <w:b/>
          <w:sz w:val="40"/>
          <w:szCs w:val="40"/>
        </w:rPr>
        <w:t xml:space="preserve"> </w:t>
      </w:r>
      <w:r w:rsidRPr="000461D5">
        <w:rPr>
          <w:rFonts w:hint="eastAsia"/>
          <w:b/>
          <w:sz w:val="40"/>
          <w:szCs w:val="40"/>
        </w:rPr>
        <w:t>追加レジュメ</w:t>
      </w:r>
    </w:p>
    <w:p w:rsidR="00480126" w:rsidRDefault="00480126" w:rsidP="00480126">
      <w:pPr>
        <w:jc w:val="right"/>
        <w:rPr>
          <w:szCs w:val="21"/>
          <w:lang w:eastAsia="zh-CN"/>
        </w:rPr>
      </w:pPr>
      <w:r>
        <w:rPr>
          <w:rFonts w:hint="eastAsia"/>
          <w:szCs w:val="21"/>
          <w:lang w:eastAsia="zh-CN"/>
        </w:rPr>
        <w:t>2015</w:t>
      </w:r>
      <w:r>
        <w:rPr>
          <w:rFonts w:hint="eastAsia"/>
          <w:szCs w:val="21"/>
          <w:lang w:eastAsia="zh-CN"/>
        </w:rPr>
        <w:t>年</w:t>
      </w:r>
      <w:r>
        <w:rPr>
          <w:rFonts w:hint="eastAsia"/>
          <w:szCs w:val="21"/>
          <w:lang w:eastAsia="zh-CN"/>
        </w:rPr>
        <w:t>5</w:t>
      </w:r>
      <w:r>
        <w:rPr>
          <w:rFonts w:hint="eastAsia"/>
          <w:szCs w:val="21"/>
          <w:lang w:eastAsia="zh-CN"/>
        </w:rPr>
        <w:t>月</w:t>
      </w:r>
      <w:r>
        <w:rPr>
          <w:rFonts w:hint="eastAsia"/>
          <w:szCs w:val="21"/>
          <w:lang w:eastAsia="zh-CN"/>
        </w:rPr>
        <w:t>11</w:t>
      </w:r>
      <w:r>
        <w:rPr>
          <w:rFonts w:hint="eastAsia"/>
          <w:szCs w:val="21"/>
          <w:lang w:eastAsia="zh-CN"/>
        </w:rPr>
        <w:t>日</w:t>
      </w:r>
    </w:p>
    <w:p w:rsidR="00480126" w:rsidRDefault="00480126" w:rsidP="00480126">
      <w:pPr>
        <w:jc w:val="right"/>
        <w:rPr>
          <w:szCs w:val="21"/>
          <w:lang w:eastAsia="zh-CN"/>
        </w:rPr>
      </w:pPr>
      <w:r>
        <w:rPr>
          <w:rFonts w:hint="eastAsia"/>
          <w:szCs w:val="21"/>
          <w:lang w:eastAsia="zh-CN"/>
        </w:rPr>
        <w:t>主専攻法学演習</w:t>
      </w:r>
      <w:r>
        <w:rPr>
          <w:rFonts w:hint="eastAsia"/>
          <w:szCs w:val="21"/>
          <w:lang w:eastAsia="zh-CN"/>
        </w:rPr>
        <w:t>(</w:t>
      </w:r>
      <w:r>
        <w:rPr>
          <w:rFonts w:hint="eastAsia"/>
          <w:szCs w:val="21"/>
          <w:lang w:eastAsia="zh-CN"/>
        </w:rPr>
        <w:t>憲法</w:t>
      </w:r>
      <w:r>
        <w:rPr>
          <w:rFonts w:hint="eastAsia"/>
          <w:szCs w:val="21"/>
          <w:lang w:eastAsia="zh-CN"/>
        </w:rPr>
        <w:t>)</w:t>
      </w:r>
    </w:p>
    <w:p w:rsidR="00480126" w:rsidRDefault="00480126" w:rsidP="00480126">
      <w:pPr>
        <w:jc w:val="right"/>
        <w:rPr>
          <w:szCs w:val="21"/>
        </w:rPr>
      </w:pPr>
      <w:r>
        <w:rPr>
          <w:rFonts w:hint="eastAsia"/>
          <w:szCs w:val="21"/>
        </w:rPr>
        <w:t>4</w:t>
      </w:r>
      <w:r>
        <w:rPr>
          <w:rFonts w:hint="eastAsia"/>
          <w:szCs w:val="21"/>
        </w:rPr>
        <w:t>年　大楽、佐藤、芝田</w:t>
      </w:r>
    </w:p>
    <w:p w:rsidR="00480126" w:rsidRDefault="00480126" w:rsidP="00480126">
      <w:pPr>
        <w:jc w:val="right"/>
        <w:rPr>
          <w:szCs w:val="21"/>
        </w:rPr>
      </w:pPr>
      <w:r>
        <w:rPr>
          <w:rFonts w:hint="eastAsia"/>
          <w:szCs w:val="21"/>
        </w:rPr>
        <w:t>3</w:t>
      </w:r>
      <w:r>
        <w:rPr>
          <w:rFonts w:hint="eastAsia"/>
          <w:szCs w:val="21"/>
        </w:rPr>
        <w:t>年　池田、石原、今津</w:t>
      </w:r>
    </w:p>
    <w:p w:rsidR="00480126" w:rsidRPr="00480126" w:rsidRDefault="00480126" w:rsidP="00480126">
      <w:pPr>
        <w:rPr>
          <w:sz w:val="44"/>
          <w:szCs w:val="44"/>
        </w:rPr>
      </w:pPr>
    </w:p>
    <w:p w:rsidR="00480126" w:rsidRPr="000013E0" w:rsidRDefault="00480126" w:rsidP="00480126">
      <w:pPr>
        <w:rPr>
          <w:b/>
          <w:sz w:val="32"/>
          <w:szCs w:val="32"/>
        </w:rPr>
      </w:pPr>
      <w:r w:rsidRPr="000013E0">
        <w:rPr>
          <w:rFonts w:hint="eastAsia"/>
          <w:b/>
          <w:sz w:val="32"/>
          <w:szCs w:val="32"/>
        </w:rPr>
        <w:t>空知太神社事件判決</w:t>
      </w:r>
    </w:p>
    <w:p w:rsidR="00480126" w:rsidRDefault="00480126" w:rsidP="00480126">
      <w:r>
        <w:rPr>
          <w:rFonts w:hint="eastAsia"/>
        </w:rPr>
        <w:t>（最判平</w:t>
      </w:r>
      <w:r>
        <w:rPr>
          <w:rFonts w:hint="eastAsia"/>
        </w:rPr>
        <w:t>22</w:t>
      </w:r>
      <w:r>
        <w:rPr>
          <w:rFonts w:hint="eastAsia"/>
        </w:rPr>
        <w:t>・</w:t>
      </w:r>
      <w:r>
        <w:rPr>
          <w:rFonts w:hint="eastAsia"/>
        </w:rPr>
        <w:t>1</w:t>
      </w:r>
      <w:r>
        <w:rPr>
          <w:rFonts w:hint="eastAsia"/>
        </w:rPr>
        <w:t>・</w:t>
      </w:r>
      <w:r>
        <w:rPr>
          <w:rFonts w:hint="eastAsia"/>
        </w:rPr>
        <w:t>20</w:t>
      </w:r>
      <w:r w:rsidRPr="003C72A2">
        <w:rPr>
          <w:rFonts w:hint="eastAsia"/>
        </w:rPr>
        <w:t>民集第</w:t>
      </w:r>
      <w:r w:rsidRPr="003C72A2">
        <w:rPr>
          <w:rFonts w:hint="eastAsia"/>
        </w:rPr>
        <w:t>64</w:t>
      </w:r>
      <w:r w:rsidRPr="003C72A2">
        <w:rPr>
          <w:rFonts w:hint="eastAsia"/>
        </w:rPr>
        <w:t>巻</w:t>
      </w:r>
      <w:r w:rsidRPr="003C72A2">
        <w:rPr>
          <w:rFonts w:hint="eastAsia"/>
        </w:rPr>
        <w:t>1</w:t>
      </w:r>
      <w:r w:rsidRPr="003C72A2">
        <w:rPr>
          <w:rFonts w:hint="eastAsia"/>
        </w:rPr>
        <w:t>号</w:t>
      </w:r>
      <w:r w:rsidRPr="003C72A2">
        <w:rPr>
          <w:rFonts w:hint="eastAsia"/>
        </w:rPr>
        <w:t>1</w:t>
      </w:r>
      <w:r w:rsidRPr="003C72A2">
        <w:rPr>
          <w:rFonts w:hint="eastAsia"/>
        </w:rPr>
        <w:t>頁</w:t>
      </w:r>
      <w:r>
        <w:rPr>
          <w:rFonts w:hint="eastAsia"/>
        </w:rPr>
        <w:t>）</w:t>
      </w:r>
    </w:p>
    <w:p w:rsidR="00480126" w:rsidRDefault="00480126" w:rsidP="00480126">
      <w:r>
        <w:rPr>
          <w:rFonts w:hint="eastAsia"/>
        </w:rPr>
        <w:t>市が市有地を無償で神社の施設敷地として使用させていたのに対し、市の住民が政教分離違反で争った事件。</w:t>
      </w:r>
    </w:p>
    <w:p w:rsidR="00480126" w:rsidRPr="007B435F" w:rsidRDefault="00480126" w:rsidP="00480126"/>
    <w:p w:rsidR="00480126" w:rsidRPr="00324C1A" w:rsidRDefault="00480126" w:rsidP="00480126">
      <w:pPr>
        <w:ind w:firstLineChars="100" w:firstLine="210"/>
      </w:pPr>
      <w:r>
        <w:rPr>
          <w:rFonts w:hint="eastAsia"/>
        </w:rPr>
        <w:t>最高裁は、本件の判断の前に憲法</w:t>
      </w:r>
      <w:r>
        <w:rPr>
          <w:rFonts w:hint="eastAsia"/>
        </w:rPr>
        <w:t>89</w:t>
      </w:r>
      <w:r>
        <w:rPr>
          <w:rFonts w:hint="eastAsia"/>
        </w:rPr>
        <w:t>条及び</w:t>
      </w:r>
      <w:r>
        <w:rPr>
          <w:rFonts w:hint="eastAsia"/>
        </w:rPr>
        <w:t>20</w:t>
      </w:r>
      <w:r>
        <w:rPr>
          <w:rFonts w:hint="eastAsia"/>
        </w:rPr>
        <w:t>条の趣旨について述べている。</w:t>
      </w:r>
    </w:p>
    <w:p w:rsidR="00480126" w:rsidRDefault="00480126" w:rsidP="00480126"/>
    <w:p w:rsidR="00480126" w:rsidRDefault="00480126" w:rsidP="00480126">
      <w:r>
        <w:rPr>
          <w:rFonts w:hint="eastAsia"/>
        </w:rPr>
        <w:t>「憲法８９条は，公の財産を宗教上の組織又は団体の使用，便益若しくは維持のた</w:t>
      </w:r>
    </w:p>
    <w:p w:rsidR="00480126" w:rsidRDefault="00480126" w:rsidP="00480126">
      <w:r>
        <w:rPr>
          <w:rFonts w:hint="eastAsia"/>
        </w:rPr>
        <w:t>め，その利用に供してはならない旨を定めている。その趣旨は，国家が宗教的に中</w:t>
      </w:r>
    </w:p>
    <w:p w:rsidR="00480126" w:rsidRDefault="00480126" w:rsidP="00480126">
      <w:r>
        <w:rPr>
          <w:rFonts w:hint="eastAsia"/>
        </w:rPr>
        <w:t>立であることを要求するいわゆる政教分離の原則を，公の財産の利用提供等の財政</w:t>
      </w:r>
    </w:p>
    <w:p w:rsidR="00480126" w:rsidRDefault="00480126" w:rsidP="00480126">
      <w:r>
        <w:rPr>
          <w:rFonts w:hint="eastAsia"/>
        </w:rPr>
        <w:t>的な側面において徹底させるところにあり，これによって，憲法２０条１項後段の</w:t>
      </w:r>
    </w:p>
    <w:p w:rsidR="00480126" w:rsidRDefault="00480126" w:rsidP="00480126">
      <w:r>
        <w:rPr>
          <w:rFonts w:hint="eastAsia"/>
        </w:rPr>
        <w:t>規定する宗教団体に対する特権の付与の禁止を財政的側面からも確保し，信教の自</w:t>
      </w:r>
    </w:p>
    <w:p w:rsidR="00480126" w:rsidRDefault="00480126" w:rsidP="00480126">
      <w:r>
        <w:rPr>
          <w:rFonts w:hint="eastAsia"/>
        </w:rPr>
        <w:t>由の保障を一層確実なものにしようとしたものである。しかし，国家と宗教とのか</w:t>
      </w:r>
    </w:p>
    <w:p w:rsidR="00480126" w:rsidRDefault="00480126" w:rsidP="00480126">
      <w:r>
        <w:rPr>
          <w:rFonts w:hint="eastAsia"/>
        </w:rPr>
        <w:t>かわり合いには種々の形態があり，およそ国又は地方公共団体が宗教との一切の関</w:t>
      </w:r>
    </w:p>
    <w:p w:rsidR="00480126" w:rsidRDefault="00480126" w:rsidP="00480126">
      <w:r>
        <w:rPr>
          <w:rFonts w:hint="eastAsia"/>
        </w:rPr>
        <w:t>係を持つことが許されないというものではなく，憲法８９条も，公の財産の利用提</w:t>
      </w:r>
    </w:p>
    <w:p w:rsidR="00480126" w:rsidRDefault="00480126" w:rsidP="00480126">
      <w:r>
        <w:rPr>
          <w:rFonts w:hint="eastAsia"/>
        </w:rPr>
        <w:t>供等における宗教とのかかわり合いが，我が国の社会的，文化的諸条件に照らし，</w:t>
      </w:r>
    </w:p>
    <w:p w:rsidR="00480126" w:rsidRDefault="00480126" w:rsidP="00480126">
      <w:r>
        <w:rPr>
          <w:rFonts w:hint="eastAsia"/>
        </w:rPr>
        <w:t>信教の自由の保障の確保という制度の根本目的との関係で相当とされる限度を超え</w:t>
      </w:r>
    </w:p>
    <w:p w:rsidR="00480126" w:rsidRDefault="00480126" w:rsidP="00480126">
      <w:r>
        <w:rPr>
          <w:rFonts w:hint="eastAsia"/>
        </w:rPr>
        <w:t>るものと認められる場合に，これを許さないとするものと解される。」</w:t>
      </w:r>
    </w:p>
    <w:p w:rsidR="00480126" w:rsidRDefault="00480126" w:rsidP="00480126"/>
    <w:p w:rsidR="00480126" w:rsidRDefault="00480126" w:rsidP="00480126">
      <w:pPr>
        <w:ind w:firstLineChars="100" w:firstLine="210"/>
      </w:pPr>
      <w:r>
        <w:rPr>
          <w:rFonts w:hint="eastAsia"/>
        </w:rPr>
        <w:t>ここで、政教分離原則は国家が宗教的中立を守ることにより、信教の自由を確保するために規定されていることが確認されている。その後、国と宗教を完全に分離することが事実上不可能であることを挙げ、国と宗教の関わりが相当な限度を超えた場合に違憲とされることを述べている。ここでいう相当な限度の判断基準として、これまでの最高裁判決では目的効果基準を用いていた。しかし、判決文では以下のように述べている。</w:t>
      </w:r>
    </w:p>
    <w:p w:rsidR="00480126" w:rsidRDefault="00480126" w:rsidP="00480126">
      <w:pPr>
        <w:ind w:firstLineChars="100" w:firstLine="210"/>
      </w:pPr>
    </w:p>
    <w:p w:rsidR="00480126" w:rsidRDefault="00480126" w:rsidP="00480126">
      <w:r>
        <w:rPr>
          <w:rFonts w:hint="eastAsia"/>
        </w:rPr>
        <w:t>「信教の自由の保障の確保という制度の根本目的との関係で相当とされる限度を超えて憲法８９条に違反するか否かを判断するに当たっては，当該宗教的施設の性格，当該土地が無償で当該施設の敷地としての用に供されるに至った経緯，当該無償提供の態様，これらに対する一般人の評価等，諸般の事情を考慮し，社会通念に照らして総合的に判断すべきものと</w:t>
      </w:r>
      <w:r>
        <w:rPr>
          <w:rFonts w:hint="eastAsia"/>
        </w:rPr>
        <w:lastRenderedPageBreak/>
        <w:t>解するのが相当である。」</w:t>
      </w:r>
    </w:p>
    <w:p w:rsidR="00480126" w:rsidRPr="000D39A5" w:rsidRDefault="00480126" w:rsidP="00480126">
      <w:bookmarkStart w:id="0" w:name="_GoBack"/>
      <w:bookmarkEnd w:id="0"/>
    </w:p>
    <w:p w:rsidR="00480126" w:rsidRDefault="00480126" w:rsidP="00480126">
      <w:r>
        <w:rPr>
          <w:rFonts w:hint="eastAsia"/>
        </w:rPr>
        <w:t>「明らかな宗教的施設といわざるを得ない本件神社物件の性格，これに対し長期間にわたり継続的に便益を提供し続けていることなどの本件利用提供行為の具体的態様等にかんがみると，……本件利用提供行為は，市と本件神社ないし神道とのかかわり合いが，我が国の社会的，文化的諸条件に照らし，信教の自由の保障の確保という制度の根本目的との関係で相当とされる限度を超えるものとして，憲法８９条の禁止する公の財産の利用提供に当たり，ひいては憲法２０条１項後段の禁止する宗教団体に対する特権の付与にも該当すると解するのが相当である。」</w:t>
      </w:r>
    </w:p>
    <w:p w:rsidR="00480126" w:rsidRDefault="00480126" w:rsidP="00480126"/>
    <w:p w:rsidR="00480126" w:rsidRDefault="00480126" w:rsidP="00480126">
      <w:pPr>
        <w:ind w:firstLineChars="100" w:firstLine="210"/>
      </w:pPr>
      <w:r>
        <w:rPr>
          <w:rFonts w:hint="eastAsia"/>
        </w:rPr>
        <w:t>判決文では市の土地提供の目的が宗教的意義を持つかどうかについては触れておらず、判断基準として目的効果基準に触れることなく、直接憲法</w:t>
      </w:r>
      <w:r>
        <w:rPr>
          <w:rFonts w:hint="eastAsia"/>
        </w:rPr>
        <w:t>89</w:t>
      </w:r>
      <w:r>
        <w:rPr>
          <w:rFonts w:hint="eastAsia"/>
        </w:rPr>
        <w:t>条及び</w:t>
      </w:r>
      <w:r>
        <w:rPr>
          <w:rFonts w:hint="eastAsia"/>
        </w:rPr>
        <w:t>20</w:t>
      </w:r>
      <w:r>
        <w:rPr>
          <w:rFonts w:hint="eastAsia"/>
        </w:rPr>
        <w:t>条の規定を適用している点にこの判決の特色があると言える。</w:t>
      </w:r>
    </w:p>
    <w:p w:rsidR="00480126" w:rsidRPr="000D39A5" w:rsidRDefault="00480126" w:rsidP="00480126"/>
    <w:p w:rsidR="00480126" w:rsidRPr="00480126" w:rsidRDefault="00480126" w:rsidP="00480126">
      <w:pPr>
        <w:rPr>
          <w:b/>
          <w:sz w:val="28"/>
          <w:szCs w:val="28"/>
        </w:rPr>
      </w:pPr>
      <w:r w:rsidRPr="00480126">
        <w:rPr>
          <w:rFonts w:hint="eastAsia"/>
          <w:b/>
          <w:sz w:val="28"/>
          <w:szCs w:val="28"/>
        </w:rPr>
        <w:t>・信教の自由と政教分離原則の関係性</w:t>
      </w:r>
    </w:p>
    <w:p w:rsidR="00480126" w:rsidRDefault="00480126" w:rsidP="00480126"/>
    <w:p w:rsidR="00480126" w:rsidRDefault="00480126" w:rsidP="00480126">
      <w:r>
        <w:rPr>
          <w:rFonts w:hint="eastAsia"/>
        </w:rPr>
        <w:t xml:space="preserve">　日本国憲法では、政教分離という言葉は用いられていないが</w:t>
      </w:r>
      <w:r>
        <w:rPr>
          <w:rFonts w:hint="eastAsia"/>
        </w:rPr>
        <w:t>20</w:t>
      </w:r>
      <w:r>
        <w:rPr>
          <w:rFonts w:hint="eastAsia"/>
        </w:rPr>
        <w:t>条</w:t>
      </w:r>
      <w:r>
        <w:rPr>
          <w:rFonts w:hint="eastAsia"/>
        </w:rPr>
        <w:t>1</w:t>
      </w:r>
      <w:r>
        <w:rPr>
          <w:rFonts w:hint="eastAsia"/>
        </w:rPr>
        <w:t>項後段、</w:t>
      </w:r>
      <w:r>
        <w:rPr>
          <w:rFonts w:hint="eastAsia"/>
        </w:rPr>
        <w:t>3</w:t>
      </w:r>
      <w:r>
        <w:rPr>
          <w:rFonts w:hint="eastAsia"/>
        </w:rPr>
        <w:t>項そして</w:t>
      </w:r>
      <w:r>
        <w:rPr>
          <w:rFonts w:hint="eastAsia"/>
        </w:rPr>
        <w:t>89</w:t>
      </w:r>
      <w:r>
        <w:rPr>
          <w:rFonts w:hint="eastAsia"/>
        </w:rPr>
        <w:t>条から政教分離原則が規定されている。</w:t>
      </w:r>
      <w:r>
        <w:rPr>
          <w:rFonts w:hint="eastAsia"/>
        </w:rPr>
        <w:t>20</w:t>
      </w:r>
      <w:r>
        <w:rPr>
          <w:rFonts w:hint="eastAsia"/>
        </w:rPr>
        <w:t>条</w:t>
      </w:r>
      <w:r>
        <w:rPr>
          <w:rFonts w:hint="eastAsia"/>
        </w:rPr>
        <w:t>1</w:t>
      </w:r>
      <w:r>
        <w:rPr>
          <w:rFonts w:hint="eastAsia"/>
        </w:rPr>
        <w:t>項後段では宗教団体が国から特権を受けたり政治上の権力を行使することを禁止し、</w:t>
      </w:r>
      <w:r>
        <w:rPr>
          <w:rFonts w:hint="eastAsia"/>
        </w:rPr>
        <w:t>3</w:t>
      </w:r>
      <w:r>
        <w:rPr>
          <w:rFonts w:hint="eastAsia"/>
        </w:rPr>
        <w:t>項は国及びその期間が宗教教育なだの宗教的活動をすることを禁止している。</w:t>
      </w:r>
      <w:r>
        <w:rPr>
          <w:rFonts w:hint="eastAsia"/>
        </w:rPr>
        <w:t>89</w:t>
      </w:r>
      <w:r>
        <w:rPr>
          <w:rFonts w:hint="eastAsia"/>
        </w:rPr>
        <w:t>条はこの原則を財政面の点から宗教上の組織のために公金の支出・公の財産の提供の禁止を規定している。最高裁は、津地鎮祭事件での判決で、信教の自由と政教分離は目的と手段の関係にあり、個人の権利ではなく、制度的保障</w:t>
      </w:r>
      <w:r>
        <w:rPr>
          <w:rFonts w:hint="eastAsia"/>
        </w:rPr>
        <w:t>(</w:t>
      </w:r>
      <w:r w:rsidRPr="0064715D">
        <w:rPr>
          <w:rFonts w:hint="eastAsia"/>
        </w:rPr>
        <w:t>自由権本体を保障するために、権利とは別に一定の制度をあらかじめ憲法によって制定すること</w:t>
      </w:r>
      <w:r>
        <w:rPr>
          <w:rFonts w:hint="eastAsia"/>
        </w:rPr>
        <w:t>)</w:t>
      </w:r>
      <w:r>
        <w:rPr>
          <w:rFonts w:hint="eastAsia"/>
        </w:rPr>
        <w:t>であるとしている。つまり、これによって国民が自身の宗教を自由に選択でき、信教の自由の完全保障がなされるといえるだろう。</w:t>
      </w:r>
    </w:p>
    <w:p w:rsidR="00FF3065" w:rsidRPr="00480126" w:rsidRDefault="00480126">
      <w:r>
        <w:rPr>
          <w:rFonts w:hint="eastAsia"/>
        </w:rPr>
        <w:t xml:space="preserve">　しかし、信教の自由と政教分離原則は完全に結びついているものではない。政教分離原則は、政府が宗教または宗教団体とかかわりを持つ場合でも、政府の宗教的中立性を要請していることになる。ところが、宗教的中立性を貫こうとすれば、個人の信教の自由を制限する場合も生じてくる。（例：日曜日授業参観事件）このような場合に、仮に公立学校が生徒の便宜を図れば特定の宗教を優遇しているという主張も出てくる。しかし、渋谷秀樹氏は、宗教的中立性は政府の宗教的無関心を要請するのではなく、個人の信教の自由に対する政府の寛容性を要請しているとしている。つまり、政府が特定個人に寛容性を示すことによって他者の憲法上の権利あるいは非常に重要な公共的利益の侵害があるか否かを判断してから政教分離原則違反かどうかを検討していくべきではないか。</w:t>
      </w:r>
    </w:p>
    <w:sectPr w:rsidR="00FF3065" w:rsidRPr="00480126" w:rsidSect="00480126">
      <w:footerReference w:type="default" r:id="rId6"/>
      <w:pgSz w:w="11906" w:h="16838" w:code="9"/>
      <w:pgMar w:top="1701" w:right="1701" w:bottom="1361"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FF" w:rsidRDefault="00D336FF" w:rsidP="00480126">
      <w:r>
        <w:separator/>
      </w:r>
    </w:p>
  </w:endnote>
  <w:endnote w:type="continuationSeparator" w:id="0">
    <w:p w:rsidR="00D336FF" w:rsidRDefault="00D336FF" w:rsidP="0048012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42907"/>
      <w:docPartObj>
        <w:docPartGallery w:val="Page Numbers (Bottom of Page)"/>
        <w:docPartUnique/>
      </w:docPartObj>
    </w:sdtPr>
    <w:sdtContent>
      <w:p w:rsidR="00480126" w:rsidRDefault="00281C15">
        <w:pPr>
          <w:pStyle w:val="a7"/>
          <w:jc w:val="center"/>
        </w:pPr>
        <w:fldSimple w:instr=" PAGE   \* MERGEFORMAT ">
          <w:r w:rsidR="000461D5" w:rsidRPr="000461D5">
            <w:rPr>
              <w:noProof/>
              <w:lang w:val="ja-JP"/>
            </w:rPr>
            <w:t>1</w:t>
          </w:r>
        </w:fldSimple>
      </w:p>
    </w:sdtContent>
  </w:sdt>
  <w:p w:rsidR="00480126" w:rsidRDefault="004801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FF" w:rsidRDefault="00D336FF" w:rsidP="00480126">
      <w:r>
        <w:separator/>
      </w:r>
    </w:p>
  </w:footnote>
  <w:footnote w:type="continuationSeparator" w:id="0">
    <w:p w:rsidR="00D336FF" w:rsidRDefault="00D336FF" w:rsidP="00480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126"/>
    <w:rsid w:val="000461D5"/>
    <w:rsid w:val="00281C15"/>
    <w:rsid w:val="00480126"/>
    <w:rsid w:val="0087149E"/>
    <w:rsid w:val="00995DCA"/>
    <w:rsid w:val="00D336FF"/>
    <w:rsid w:val="00D922B4"/>
    <w:rsid w:val="00D926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0126"/>
  </w:style>
  <w:style w:type="character" w:customStyle="1" w:styleId="a4">
    <w:name w:val="日付 (文字)"/>
    <w:basedOn w:val="a0"/>
    <w:link w:val="a3"/>
    <w:uiPriority w:val="99"/>
    <w:semiHidden/>
    <w:rsid w:val="00480126"/>
  </w:style>
  <w:style w:type="paragraph" w:styleId="a5">
    <w:name w:val="header"/>
    <w:basedOn w:val="a"/>
    <w:link w:val="a6"/>
    <w:uiPriority w:val="99"/>
    <w:semiHidden/>
    <w:unhideWhenUsed/>
    <w:rsid w:val="00480126"/>
    <w:pPr>
      <w:tabs>
        <w:tab w:val="center" w:pos="4252"/>
        <w:tab w:val="right" w:pos="8504"/>
      </w:tabs>
      <w:snapToGrid w:val="0"/>
    </w:pPr>
  </w:style>
  <w:style w:type="character" w:customStyle="1" w:styleId="a6">
    <w:name w:val="ヘッダー (文字)"/>
    <w:basedOn w:val="a0"/>
    <w:link w:val="a5"/>
    <w:uiPriority w:val="99"/>
    <w:semiHidden/>
    <w:rsid w:val="00480126"/>
  </w:style>
  <w:style w:type="paragraph" w:styleId="a7">
    <w:name w:val="footer"/>
    <w:basedOn w:val="a"/>
    <w:link w:val="a8"/>
    <w:uiPriority w:val="99"/>
    <w:unhideWhenUsed/>
    <w:rsid w:val="00480126"/>
    <w:pPr>
      <w:tabs>
        <w:tab w:val="center" w:pos="4252"/>
        <w:tab w:val="right" w:pos="8504"/>
      </w:tabs>
      <w:snapToGrid w:val="0"/>
    </w:pPr>
  </w:style>
  <w:style w:type="character" w:customStyle="1" w:styleId="a8">
    <w:name w:val="フッター (文字)"/>
    <w:basedOn w:val="a0"/>
    <w:link w:val="a7"/>
    <w:uiPriority w:val="99"/>
    <w:rsid w:val="004801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Shinji</dc:creator>
  <cp:lastModifiedBy>Shinji</cp:lastModifiedBy>
  <cp:revision>2</cp:revision>
  <dcterms:created xsi:type="dcterms:W3CDTF">2015-05-10T01:42:00Z</dcterms:created>
  <dcterms:modified xsi:type="dcterms:W3CDTF">2015-05-10T01:49:00Z</dcterms:modified>
</cp:coreProperties>
</file>